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8E" w:rsidRPr="0028186E" w:rsidRDefault="00C6718E">
      <w:pPr>
        <w:jc w:val="center"/>
        <w:rPr>
          <w:rFonts w:ascii="Arial" w:eastAsia="DFKai-SB" w:hAnsi="Arial" w:cs="Arial"/>
        </w:rPr>
      </w:pPr>
      <w:r w:rsidRPr="0028186E">
        <w:rPr>
          <w:rFonts w:ascii="Arial" w:eastAsia="DFKai-SB" w:hAnsi="Arial" w:cs="Arial"/>
          <w:sz w:val="72"/>
          <w:szCs w:val="72"/>
        </w:rPr>
        <w:t>Value Charts &amp; Shading</w:t>
      </w:r>
    </w:p>
    <w:p w:rsidR="00C6718E" w:rsidRPr="0028186E" w:rsidRDefault="00C6718E">
      <w:pPr>
        <w:rPr>
          <w:rFonts w:ascii="Arial" w:eastAsia="DFKai-SB" w:hAnsi="Arial" w:cs="Arial"/>
        </w:rPr>
      </w:pPr>
    </w:p>
    <w:p w:rsidR="00C6718E" w:rsidRPr="0028186E" w:rsidRDefault="00C6718E">
      <w:pPr>
        <w:rPr>
          <w:rFonts w:ascii="Arial" w:eastAsia="DFKai-SB" w:hAnsi="Arial" w:cs="Arial"/>
        </w:rPr>
      </w:pPr>
      <w:r w:rsidRPr="0028186E">
        <w:rPr>
          <w:rFonts w:ascii="Arial" w:eastAsia="DFKai-SB" w:hAnsi="Arial" w:cs="Arial"/>
          <w:b/>
          <w:sz w:val="28"/>
          <w:szCs w:val="28"/>
        </w:rPr>
        <w:t>SHADING</w:t>
      </w:r>
      <w:r w:rsidRPr="0028186E">
        <w:rPr>
          <w:rFonts w:ascii="Arial" w:eastAsia="DFKai-SB" w:hAnsi="Arial" w:cs="Arial"/>
        </w:rPr>
        <w:t xml:space="preserve"> - </w:t>
      </w:r>
      <w:r w:rsidRPr="0028186E">
        <w:rPr>
          <w:rFonts w:ascii="Arial" w:eastAsia="DFKai-SB" w:hAnsi="Arial" w:cs="Arial"/>
          <w:sz w:val="22"/>
          <w:szCs w:val="22"/>
        </w:rPr>
        <w:t xml:space="preserve">“Drawing pencil marks to fill in an area.” </w:t>
      </w:r>
      <w:r w:rsidRPr="0028186E">
        <w:rPr>
          <w:rFonts w:ascii="Arial" w:eastAsia="DFKai-SB" w:hAnsi="Arial" w:cs="Arial"/>
          <w:sz w:val="18"/>
          <w:szCs w:val="18"/>
        </w:rPr>
        <w:t>(Brynjolson, 1998, p. 179)</w:t>
      </w:r>
    </w:p>
    <w:p w:rsidR="00C6718E" w:rsidRPr="0028186E" w:rsidRDefault="00C6718E">
      <w:pPr>
        <w:rPr>
          <w:rFonts w:ascii="Arial" w:eastAsia="DFKai-SB" w:hAnsi="Arial" w:cs="Arial"/>
        </w:rPr>
      </w:pPr>
      <w:bookmarkStart w:id="0" w:name="_GoBack"/>
      <w:bookmarkEnd w:id="0"/>
    </w:p>
    <w:p w:rsidR="0028186E" w:rsidRDefault="00C6718E" w:rsidP="0028186E">
      <w:pPr>
        <w:ind w:left="720" w:hanging="720"/>
        <w:rPr>
          <w:rFonts w:ascii="Arial" w:eastAsia="DFKai-SB" w:hAnsi="Arial" w:cs="Arial"/>
          <w:sz w:val="22"/>
          <w:szCs w:val="22"/>
        </w:rPr>
      </w:pPr>
      <w:r w:rsidRPr="0028186E">
        <w:rPr>
          <w:rFonts w:ascii="Arial" w:eastAsia="DFKai-SB" w:hAnsi="Arial" w:cs="Arial"/>
          <w:b/>
          <w:sz w:val="28"/>
          <w:szCs w:val="28"/>
        </w:rPr>
        <w:t>VALUE CHART</w:t>
      </w:r>
      <w:r w:rsidRPr="0028186E">
        <w:rPr>
          <w:rFonts w:ascii="Arial" w:eastAsia="DFKai-SB" w:hAnsi="Arial" w:cs="Arial"/>
        </w:rPr>
        <w:t xml:space="preserve"> - </w:t>
      </w:r>
      <w:r w:rsidRPr="0028186E">
        <w:rPr>
          <w:rFonts w:ascii="Arial" w:eastAsia="DFKai-SB" w:hAnsi="Arial" w:cs="Arial"/>
          <w:sz w:val="22"/>
          <w:szCs w:val="22"/>
        </w:rPr>
        <w:t>“A gradual shift from light to dark values; an exercise to build skill at</w:t>
      </w:r>
      <w:r w:rsidR="0028186E">
        <w:rPr>
          <w:rFonts w:ascii="Arial" w:eastAsia="DFKai-SB" w:hAnsi="Arial" w:cs="Arial"/>
          <w:sz w:val="22"/>
          <w:szCs w:val="22"/>
        </w:rPr>
        <w:t xml:space="preserve"> n</w:t>
      </w:r>
      <w:r w:rsidRPr="0028186E">
        <w:rPr>
          <w:rFonts w:ascii="Arial" w:eastAsia="DFKai-SB" w:hAnsi="Arial" w:cs="Arial"/>
          <w:sz w:val="22"/>
          <w:szCs w:val="22"/>
        </w:rPr>
        <w:t xml:space="preserve">oticing and </w:t>
      </w:r>
    </w:p>
    <w:p w:rsidR="00C6718E" w:rsidRPr="0028186E" w:rsidRDefault="0028186E" w:rsidP="0028186E">
      <w:pPr>
        <w:ind w:left="720" w:hanging="720"/>
        <w:rPr>
          <w:rFonts w:ascii="Arial" w:eastAsia="DFKai-SB" w:hAnsi="Arial" w:cs="Arial"/>
          <w:sz w:val="16"/>
          <w:szCs w:val="16"/>
        </w:rPr>
      </w:pPr>
      <w:r>
        <w:rPr>
          <w:rFonts w:ascii="Arial" w:eastAsia="DFKai-SB" w:hAnsi="Arial" w:cs="Arial"/>
          <w:sz w:val="28"/>
          <w:szCs w:val="28"/>
        </w:rPr>
        <w:tab/>
      </w:r>
      <w:r>
        <w:rPr>
          <w:rFonts w:ascii="Arial" w:eastAsia="DFKai-SB" w:hAnsi="Arial" w:cs="Arial"/>
          <w:sz w:val="28"/>
          <w:szCs w:val="28"/>
        </w:rPr>
        <w:tab/>
      </w:r>
      <w:r>
        <w:rPr>
          <w:rFonts w:ascii="Arial" w:eastAsia="DFKai-SB" w:hAnsi="Arial" w:cs="Arial"/>
          <w:sz w:val="28"/>
          <w:szCs w:val="28"/>
        </w:rPr>
        <w:tab/>
      </w:r>
      <w:r w:rsidR="00C6718E" w:rsidRPr="0028186E">
        <w:rPr>
          <w:rFonts w:ascii="Arial" w:eastAsia="DFKai-SB" w:hAnsi="Arial" w:cs="Arial"/>
          <w:sz w:val="22"/>
          <w:szCs w:val="22"/>
        </w:rPr>
        <w:t xml:space="preserve">reproducing a variety of values in drawing.” </w:t>
      </w:r>
      <w:r w:rsidR="00C6718E" w:rsidRPr="0028186E">
        <w:rPr>
          <w:rFonts w:ascii="Arial" w:eastAsia="DFKai-SB" w:hAnsi="Arial" w:cs="Arial"/>
          <w:sz w:val="16"/>
          <w:szCs w:val="16"/>
        </w:rPr>
        <w:t>(Brynjolson, 1998, p. 180)</w:t>
      </w:r>
    </w:p>
    <w:p w:rsidR="00C6718E" w:rsidRDefault="00C6718E">
      <w:pPr>
        <w:ind w:firstLine="1440"/>
        <w:rPr>
          <w:rFonts w:ascii="Arial" w:eastAsia="DFKai-SB" w:hAnsi="Arial" w:cs="Arial"/>
          <w:sz w:val="22"/>
          <w:szCs w:val="22"/>
        </w:rPr>
      </w:pPr>
      <w:r w:rsidRPr="0028186E">
        <w:rPr>
          <w:rFonts w:ascii="Arial" w:eastAsia="DFKai-SB" w:hAnsi="Arial" w:cs="Arial"/>
          <w:sz w:val="22"/>
          <w:szCs w:val="22"/>
        </w:rPr>
        <w:t xml:space="preserve">      (Also known as a “gray scale” when using pencil.)</w:t>
      </w:r>
    </w:p>
    <w:p w:rsidR="0028186E" w:rsidRPr="0028186E" w:rsidRDefault="0028186E">
      <w:pPr>
        <w:ind w:firstLine="1440"/>
        <w:rPr>
          <w:rFonts w:ascii="Arial" w:eastAsia="DFKai-SB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9"/>
        <w:gridCol w:w="1489"/>
        <w:gridCol w:w="1489"/>
        <w:gridCol w:w="1489"/>
        <w:gridCol w:w="1489"/>
        <w:gridCol w:w="1489"/>
        <w:gridCol w:w="1504"/>
      </w:tblGrid>
      <w:tr w:rsidR="00C6718E" w:rsidRPr="002818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  <w:sz w:val="22"/>
                <w:szCs w:val="22"/>
              </w:rPr>
            </w:pPr>
          </w:p>
          <w:p w:rsidR="00C6718E" w:rsidRPr="0028186E" w:rsidRDefault="00C6718E">
            <w:pPr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rPr>
                <w:rFonts w:ascii="Arial" w:eastAsia="DFKai-SB" w:hAnsi="Arial" w:cs="Arial"/>
              </w:rPr>
            </w:pPr>
          </w:p>
          <w:p w:rsidR="00C6718E" w:rsidRDefault="00C6718E">
            <w:pPr>
              <w:rPr>
                <w:rFonts w:ascii="Arial" w:eastAsia="DFKai-SB" w:hAnsi="Arial" w:cs="Arial"/>
              </w:rPr>
            </w:pPr>
          </w:p>
          <w:p w:rsidR="0028186E" w:rsidRPr="0028186E" w:rsidRDefault="0028186E">
            <w:pPr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</w:tr>
    </w:tbl>
    <w:p w:rsidR="00C6718E" w:rsidRPr="0028186E" w:rsidRDefault="00C6718E">
      <w:pPr>
        <w:rPr>
          <w:rFonts w:ascii="Arial" w:eastAsia="DFKai-SB" w:hAnsi="Arial" w:cs="Arial"/>
        </w:rPr>
      </w:pPr>
    </w:p>
    <w:p w:rsidR="00C6718E" w:rsidRPr="0028186E" w:rsidRDefault="00C6718E">
      <w:pPr>
        <w:rPr>
          <w:rFonts w:ascii="Arial" w:eastAsia="DFKai-SB" w:hAnsi="Arial" w:cs="Arial"/>
          <w:sz w:val="22"/>
          <w:szCs w:val="22"/>
        </w:rPr>
      </w:pPr>
      <w:r w:rsidRPr="0028186E">
        <w:rPr>
          <w:rFonts w:ascii="Arial" w:eastAsia="DFKai-SB" w:hAnsi="Arial" w:cs="Arial"/>
          <w:b/>
          <w:sz w:val="28"/>
          <w:szCs w:val="28"/>
        </w:rPr>
        <w:t>STIPPLING</w:t>
      </w:r>
      <w:r w:rsidRPr="0028186E">
        <w:rPr>
          <w:rFonts w:ascii="Arial" w:eastAsia="DFKai-SB" w:hAnsi="Arial" w:cs="Arial"/>
        </w:rPr>
        <w:t xml:space="preserve"> - </w:t>
      </w:r>
      <w:r w:rsidRPr="0028186E">
        <w:rPr>
          <w:rFonts w:ascii="Arial" w:eastAsia="DFKai-SB" w:hAnsi="Arial" w:cs="Arial"/>
          <w:sz w:val="22"/>
          <w:szCs w:val="22"/>
        </w:rPr>
        <w:t>“A pattern of closely spaced dots or small marks used in drawing and printmaking</w:t>
      </w:r>
    </w:p>
    <w:p w:rsidR="00C6718E" w:rsidRPr="0028186E" w:rsidRDefault="00C6718E">
      <w:pPr>
        <w:ind w:firstLine="1440"/>
        <w:rPr>
          <w:rFonts w:ascii="Arial" w:eastAsia="DFKai-SB" w:hAnsi="Arial" w:cs="Arial"/>
          <w:sz w:val="16"/>
          <w:szCs w:val="16"/>
        </w:rPr>
      </w:pPr>
      <w:r w:rsidRPr="0028186E">
        <w:rPr>
          <w:rFonts w:ascii="Arial" w:eastAsia="DFKai-SB" w:hAnsi="Arial" w:cs="Arial"/>
          <w:sz w:val="22"/>
          <w:szCs w:val="22"/>
        </w:rPr>
        <w:t xml:space="preserve">      that may suggest modeling.” </w:t>
      </w:r>
      <w:r w:rsidRPr="0028186E">
        <w:rPr>
          <w:rFonts w:ascii="Arial" w:eastAsia="DFKai-SB" w:hAnsi="Arial" w:cs="Arial"/>
        </w:rPr>
        <w:t xml:space="preserve"> </w:t>
      </w:r>
      <w:r w:rsidRPr="0028186E">
        <w:rPr>
          <w:rFonts w:ascii="Arial" w:eastAsia="DFKai-SB" w:hAnsi="Arial" w:cs="Arial"/>
          <w:sz w:val="16"/>
          <w:szCs w:val="16"/>
        </w:rPr>
        <w:t>(Wachowiak, F. &amp; Clements, R. D., 2001, p. 412)</w:t>
      </w:r>
    </w:p>
    <w:p w:rsidR="0028186E" w:rsidRPr="0028186E" w:rsidRDefault="0028186E">
      <w:pPr>
        <w:ind w:firstLine="1440"/>
        <w:rPr>
          <w:rFonts w:ascii="Arial" w:eastAsia="DFKai-SB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9"/>
        <w:gridCol w:w="1489"/>
        <w:gridCol w:w="1489"/>
        <w:gridCol w:w="1489"/>
        <w:gridCol w:w="1489"/>
        <w:gridCol w:w="1489"/>
        <w:gridCol w:w="1504"/>
      </w:tblGrid>
      <w:tr w:rsidR="00C6718E" w:rsidRPr="002818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  <w:p w:rsidR="00C6718E" w:rsidRPr="0028186E" w:rsidRDefault="00C6718E">
            <w:pPr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rPr>
                <w:rFonts w:ascii="Arial" w:eastAsia="DFKai-SB" w:hAnsi="Arial" w:cs="Arial"/>
              </w:rPr>
            </w:pPr>
          </w:p>
          <w:p w:rsidR="00C6718E" w:rsidRDefault="00C6718E">
            <w:pPr>
              <w:rPr>
                <w:rFonts w:ascii="Arial" w:eastAsia="DFKai-SB" w:hAnsi="Arial" w:cs="Arial"/>
              </w:rPr>
            </w:pPr>
          </w:p>
          <w:p w:rsidR="0028186E" w:rsidRPr="0028186E" w:rsidRDefault="0028186E">
            <w:pPr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</w:tr>
    </w:tbl>
    <w:p w:rsidR="00C6718E" w:rsidRDefault="00C6718E">
      <w:pPr>
        <w:rPr>
          <w:rFonts w:ascii="Arial" w:eastAsia="DFKai-SB" w:hAnsi="Arial" w:cs="Arial"/>
        </w:rPr>
      </w:pPr>
    </w:p>
    <w:p w:rsidR="0028186E" w:rsidRPr="0028186E" w:rsidRDefault="0028186E">
      <w:pPr>
        <w:rPr>
          <w:rFonts w:ascii="Arial" w:eastAsia="DFKai-SB" w:hAnsi="Arial" w:cs="Arial"/>
        </w:rPr>
      </w:pPr>
    </w:p>
    <w:p w:rsidR="00C6718E" w:rsidRPr="0028186E" w:rsidRDefault="00C6718E">
      <w:pPr>
        <w:rPr>
          <w:rFonts w:ascii="Arial" w:eastAsia="DFKai-SB" w:hAnsi="Arial" w:cs="Arial"/>
          <w:sz w:val="16"/>
          <w:szCs w:val="16"/>
        </w:rPr>
      </w:pPr>
      <w:r w:rsidRPr="0028186E">
        <w:rPr>
          <w:rFonts w:ascii="Arial" w:eastAsia="DFKai-SB" w:hAnsi="Arial" w:cs="Arial"/>
          <w:b/>
          <w:sz w:val="28"/>
          <w:szCs w:val="28"/>
        </w:rPr>
        <w:t>HATCHING</w:t>
      </w:r>
      <w:r w:rsidRPr="0028186E">
        <w:rPr>
          <w:rFonts w:ascii="Arial" w:eastAsia="DFKai-SB" w:hAnsi="Arial" w:cs="Arial"/>
          <w:sz w:val="36"/>
          <w:szCs w:val="36"/>
        </w:rPr>
        <w:t xml:space="preserve"> </w:t>
      </w:r>
      <w:r w:rsidRPr="0028186E">
        <w:rPr>
          <w:rFonts w:ascii="Arial" w:eastAsia="DFKai-SB" w:hAnsi="Arial" w:cs="Arial"/>
        </w:rPr>
        <w:t>-</w:t>
      </w:r>
      <w:r w:rsidRPr="0028186E">
        <w:rPr>
          <w:rFonts w:ascii="Arial" w:eastAsia="DFKai-SB" w:hAnsi="Arial" w:cs="Arial"/>
          <w:sz w:val="20"/>
          <w:szCs w:val="20"/>
        </w:rPr>
        <w:t xml:space="preserve"> “Repeated, parallel lines used to create texture and value.” </w:t>
      </w:r>
      <w:r w:rsidRPr="0028186E">
        <w:rPr>
          <w:rFonts w:ascii="Arial" w:eastAsia="DFKai-SB" w:hAnsi="Arial" w:cs="Arial"/>
          <w:sz w:val="16"/>
          <w:szCs w:val="16"/>
        </w:rPr>
        <w:t>(Brynjolson, 1998, p. 177)</w:t>
      </w:r>
    </w:p>
    <w:p w:rsidR="0028186E" w:rsidRPr="0028186E" w:rsidRDefault="0028186E">
      <w:pPr>
        <w:rPr>
          <w:rFonts w:ascii="Arial" w:eastAsia="DFKai-SB" w:hAnsi="Arial" w:cs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9"/>
        <w:gridCol w:w="1489"/>
        <w:gridCol w:w="1489"/>
        <w:gridCol w:w="1489"/>
        <w:gridCol w:w="1489"/>
        <w:gridCol w:w="1489"/>
        <w:gridCol w:w="1504"/>
      </w:tblGrid>
      <w:tr w:rsidR="00C6718E" w:rsidRPr="002818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rPr>
                <w:rFonts w:ascii="Arial" w:eastAsia="DFKai-SB" w:hAnsi="Arial" w:cs="Arial"/>
              </w:rPr>
            </w:pPr>
          </w:p>
          <w:p w:rsidR="00C6718E" w:rsidRDefault="00C6718E">
            <w:pPr>
              <w:rPr>
                <w:rFonts w:ascii="Arial" w:eastAsia="DFKai-SB" w:hAnsi="Arial" w:cs="Arial"/>
              </w:rPr>
            </w:pPr>
          </w:p>
          <w:p w:rsidR="0028186E" w:rsidRPr="0028186E" w:rsidRDefault="0028186E">
            <w:pPr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</w:tr>
    </w:tbl>
    <w:p w:rsidR="00C6718E" w:rsidRDefault="00C6718E">
      <w:pPr>
        <w:rPr>
          <w:rFonts w:ascii="Arial" w:eastAsia="DFKai-SB" w:hAnsi="Arial" w:cs="Arial"/>
        </w:rPr>
      </w:pPr>
    </w:p>
    <w:p w:rsidR="0028186E" w:rsidRPr="0028186E" w:rsidRDefault="0028186E">
      <w:pPr>
        <w:rPr>
          <w:rFonts w:ascii="Arial" w:eastAsia="DFKai-SB" w:hAnsi="Arial" w:cs="Arial"/>
        </w:rPr>
      </w:pPr>
    </w:p>
    <w:p w:rsidR="00C6718E" w:rsidRDefault="00C6718E" w:rsidP="0028186E">
      <w:pPr>
        <w:ind w:left="720" w:hanging="720"/>
        <w:rPr>
          <w:rFonts w:ascii="Arial" w:eastAsia="DFKai-SB" w:hAnsi="Arial" w:cs="Arial"/>
          <w:sz w:val="16"/>
          <w:szCs w:val="16"/>
        </w:rPr>
      </w:pPr>
      <w:r w:rsidRPr="0028186E">
        <w:rPr>
          <w:rFonts w:ascii="Arial" w:eastAsia="DFKai-SB" w:hAnsi="Arial" w:cs="Arial"/>
          <w:b/>
          <w:sz w:val="28"/>
          <w:szCs w:val="28"/>
        </w:rPr>
        <w:t>CROSSHATCHING</w:t>
      </w:r>
      <w:r w:rsidR="0028186E">
        <w:rPr>
          <w:rFonts w:ascii="Arial" w:eastAsia="DFKai-SB" w:hAnsi="Arial" w:cs="Arial"/>
        </w:rPr>
        <w:t xml:space="preserve"> </w:t>
      </w:r>
      <w:r w:rsidRPr="0028186E">
        <w:rPr>
          <w:rFonts w:ascii="Arial" w:eastAsia="DFKai-SB" w:hAnsi="Arial" w:cs="Arial"/>
        </w:rPr>
        <w:t>-</w:t>
      </w:r>
      <w:r w:rsidRPr="0028186E">
        <w:rPr>
          <w:rFonts w:ascii="Arial" w:eastAsia="DFKai-SB" w:hAnsi="Arial" w:cs="Arial"/>
          <w:sz w:val="20"/>
          <w:szCs w:val="20"/>
        </w:rPr>
        <w:t xml:space="preserve">“Repeated, parallel lines overlaid at an angle to other parallel lines.” </w:t>
      </w:r>
      <w:r w:rsidRPr="0028186E">
        <w:rPr>
          <w:rFonts w:ascii="Arial" w:eastAsia="DFKai-SB" w:hAnsi="Arial" w:cs="Arial"/>
          <w:sz w:val="16"/>
          <w:szCs w:val="16"/>
        </w:rPr>
        <w:t>(Brynjolson, 1998, p. 176)</w:t>
      </w:r>
    </w:p>
    <w:p w:rsidR="0028186E" w:rsidRPr="0028186E" w:rsidRDefault="0028186E" w:rsidP="0028186E">
      <w:pPr>
        <w:ind w:left="720" w:hanging="720"/>
        <w:rPr>
          <w:rFonts w:ascii="Arial" w:eastAsia="DFKai-SB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9"/>
        <w:gridCol w:w="1489"/>
        <w:gridCol w:w="1489"/>
        <w:gridCol w:w="1489"/>
        <w:gridCol w:w="1489"/>
        <w:gridCol w:w="1489"/>
        <w:gridCol w:w="1504"/>
      </w:tblGrid>
      <w:tr w:rsidR="00C6718E" w:rsidRPr="002818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rPr>
                <w:rFonts w:ascii="Arial" w:eastAsia="DFKai-SB" w:hAnsi="Arial" w:cs="Arial"/>
              </w:rPr>
            </w:pPr>
          </w:p>
          <w:p w:rsidR="00C6718E" w:rsidRDefault="00C6718E">
            <w:pPr>
              <w:rPr>
                <w:rFonts w:ascii="Arial" w:eastAsia="DFKai-SB" w:hAnsi="Arial" w:cs="Arial"/>
              </w:rPr>
            </w:pPr>
          </w:p>
          <w:p w:rsidR="0028186E" w:rsidRPr="0028186E" w:rsidRDefault="0028186E">
            <w:pPr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  <w:tc>
          <w:tcPr>
            <w:tcW w:w="1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18E" w:rsidRPr="0028186E" w:rsidRDefault="00C6718E">
            <w:pPr>
              <w:spacing w:line="120" w:lineRule="exact"/>
              <w:rPr>
                <w:rFonts w:ascii="Arial" w:eastAsia="DFKai-SB" w:hAnsi="Arial" w:cs="Arial"/>
              </w:rPr>
            </w:pPr>
          </w:p>
          <w:p w:rsidR="00C6718E" w:rsidRPr="0028186E" w:rsidRDefault="00C6718E">
            <w:pPr>
              <w:spacing w:after="58"/>
              <w:rPr>
                <w:rFonts w:ascii="Arial" w:eastAsia="DFKai-SB" w:hAnsi="Arial" w:cs="Arial"/>
              </w:rPr>
            </w:pPr>
          </w:p>
        </w:tc>
      </w:tr>
    </w:tbl>
    <w:p w:rsidR="00C6718E" w:rsidRPr="0028186E" w:rsidRDefault="00C6718E">
      <w:pPr>
        <w:rPr>
          <w:rFonts w:ascii="Arial" w:eastAsia="DFKai-SB" w:hAnsi="Arial" w:cs="Arial"/>
        </w:rPr>
      </w:pPr>
      <w:r w:rsidRPr="0028186E">
        <w:rPr>
          <w:rFonts w:ascii="Arial" w:eastAsia="DFKai-SB" w:hAnsi="Arial" w:cs="Arial"/>
          <w:sz w:val="8"/>
          <w:szCs w:val="8"/>
        </w:rPr>
        <w:t xml:space="preserve">  </w:t>
      </w:r>
    </w:p>
    <w:p w:rsidR="00C6718E" w:rsidRDefault="0028186E">
      <w:pPr>
        <w:spacing w:line="19" w:lineRule="exact"/>
        <w:rPr>
          <w:rFonts w:ascii="DFKai-SB" w:eastAsia="DFKai-SB" w:cs="DFKai-S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6294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0;width:522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x9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6718E" w:rsidRPr="0028186E" w:rsidRDefault="00C6718E">
      <w:pPr>
        <w:jc w:val="center"/>
        <w:rPr>
          <w:rFonts w:ascii="Arial" w:eastAsia="DFKai-SB" w:hAnsi="Arial" w:cs="Arial"/>
        </w:rPr>
      </w:pPr>
      <w:r w:rsidRPr="0028186E">
        <w:rPr>
          <w:rFonts w:ascii="Arial" w:eastAsia="DFKai-SB" w:hAnsi="Arial" w:cs="Arial"/>
          <w:sz w:val="18"/>
          <w:szCs w:val="18"/>
        </w:rPr>
        <w:t>References</w:t>
      </w:r>
    </w:p>
    <w:p w:rsidR="00C6718E" w:rsidRPr="0028186E" w:rsidRDefault="00C6718E">
      <w:pPr>
        <w:ind w:left="720" w:right="-90" w:hanging="720"/>
        <w:rPr>
          <w:rFonts w:ascii="Arial" w:eastAsia="DFKai-SB" w:hAnsi="Arial" w:cs="Arial"/>
          <w:sz w:val="14"/>
          <w:szCs w:val="14"/>
        </w:rPr>
      </w:pPr>
      <w:r w:rsidRPr="0028186E">
        <w:rPr>
          <w:rFonts w:ascii="Arial" w:eastAsia="DFKai-SB" w:hAnsi="Arial" w:cs="Arial"/>
          <w:sz w:val="14"/>
          <w:szCs w:val="14"/>
        </w:rPr>
        <w:t xml:space="preserve">Brynjolson, R.  (1998).  </w:t>
      </w:r>
      <w:r w:rsidRPr="0028186E">
        <w:rPr>
          <w:rFonts w:ascii="Arial" w:eastAsia="DFKai-SB" w:hAnsi="Arial" w:cs="Arial"/>
          <w:i/>
          <w:iCs/>
          <w:sz w:val="14"/>
          <w:szCs w:val="14"/>
        </w:rPr>
        <w:t>Art &amp; illustration for the classroom:  A guide for teachers &amp; parents</w:t>
      </w:r>
      <w:r w:rsidRPr="0028186E">
        <w:rPr>
          <w:rFonts w:ascii="Arial" w:eastAsia="DFKai-SB" w:hAnsi="Arial" w:cs="Arial"/>
          <w:sz w:val="14"/>
          <w:szCs w:val="14"/>
        </w:rPr>
        <w:t>.  Peguis Publishers: Winnipeg.</w:t>
      </w:r>
    </w:p>
    <w:p w:rsidR="00C6718E" w:rsidRPr="0028186E" w:rsidRDefault="00C6718E">
      <w:pPr>
        <w:ind w:left="720" w:right="-90" w:hanging="720"/>
        <w:rPr>
          <w:rFonts w:ascii="Arial" w:eastAsia="DFKai-SB" w:hAnsi="Arial" w:cs="Arial"/>
          <w:sz w:val="20"/>
          <w:szCs w:val="20"/>
        </w:rPr>
      </w:pPr>
      <w:r w:rsidRPr="0028186E">
        <w:rPr>
          <w:rFonts w:ascii="Arial" w:eastAsia="DFKai-SB" w:hAnsi="Arial" w:cs="Arial"/>
          <w:sz w:val="14"/>
          <w:szCs w:val="14"/>
        </w:rPr>
        <w:t xml:space="preserve">Wachowiak, R. &amp; Clements, R. D. (2001).  </w:t>
      </w:r>
      <w:r w:rsidRPr="0028186E">
        <w:rPr>
          <w:rFonts w:ascii="Arial" w:eastAsia="DFKai-SB" w:hAnsi="Arial" w:cs="Arial"/>
          <w:i/>
          <w:iCs/>
          <w:sz w:val="14"/>
          <w:szCs w:val="14"/>
        </w:rPr>
        <w:t>Emphasis at: A qualitative art program for elementary and middle schools</w:t>
      </w:r>
      <w:r w:rsidRPr="0028186E">
        <w:rPr>
          <w:rFonts w:ascii="Arial" w:eastAsia="DFKai-SB" w:hAnsi="Arial" w:cs="Arial"/>
          <w:sz w:val="14"/>
          <w:szCs w:val="14"/>
        </w:rPr>
        <w:t>.  Addison Wesley Longman, Inc.: New York.</w:t>
      </w:r>
    </w:p>
    <w:sectPr w:rsidR="00C6718E" w:rsidRPr="0028186E" w:rsidSect="00C6718E">
      <w:type w:val="continuous"/>
      <w:pgSz w:w="12240" w:h="15840"/>
      <w:pgMar w:top="540" w:right="630" w:bottom="630" w:left="1080" w:header="540" w:footer="6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E"/>
    <w:rsid w:val="0028186E"/>
    <w:rsid w:val="00C6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Stoddart, Heidi (ED06)</dc:creator>
  <cp:lastModifiedBy>Stoddart, Heidi (ED06)</cp:lastModifiedBy>
  <cp:revision>2</cp:revision>
  <dcterms:created xsi:type="dcterms:W3CDTF">2012-04-01T18:42:00Z</dcterms:created>
  <dcterms:modified xsi:type="dcterms:W3CDTF">2012-04-01T18:42:00Z</dcterms:modified>
</cp:coreProperties>
</file>